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eastAsia" w:ascii="方正小标宋简体" w:hAnsi="方正小标宋简体" w:eastAsia="方正小标宋简体" w:cs="方正小标宋简体"/>
          <w:b w:val="0"/>
          <w:bCs w:val="0"/>
          <w:i w:val="0"/>
          <w:iCs w:val="0"/>
          <w:sz w:val="44"/>
          <w:szCs w:val="44"/>
          <w:lang w:eastAsia="zh-CN"/>
        </w:rPr>
      </w:pPr>
      <w:r>
        <w:rPr>
          <w:rFonts w:hint="eastAsia" w:ascii="方正小标宋简体" w:hAnsi="方正小标宋简体" w:eastAsia="方正小标宋简体" w:cs="方正小标宋简体"/>
          <w:b w:val="0"/>
          <w:bCs w:val="0"/>
          <w:i w:val="0"/>
          <w:iCs w:val="0"/>
          <w:sz w:val="44"/>
          <w:szCs w:val="44"/>
          <w:lang w:val="en-US" w:eastAsia="zh-CN"/>
        </w:rPr>
        <w:t>金华市</w:t>
      </w:r>
      <w:r>
        <w:rPr>
          <w:rFonts w:hint="eastAsia" w:ascii="方正小标宋简体" w:hAnsi="方正小标宋简体" w:eastAsia="方正小标宋简体" w:cs="方正小标宋简体"/>
          <w:b w:val="0"/>
          <w:bCs w:val="0"/>
          <w:i w:val="0"/>
          <w:iCs w:val="0"/>
          <w:sz w:val="44"/>
          <w:szCs w:val="44"/>
          <w:lang w:eastAsia="zh-CN"/>
        </w:rPr>
        <w:t>零售药店</w:t>
      </w:r>
      <w:r>
        <w:rPr>
          <w:rFonts w:hint="eastAsia" w:ascii="方正小标宋简体" w:hAnsi="方正小标宋简体" w:eastAsia="方正小标宋简体" w:cs="方正小标宋简体"/>
          <w:b w:val="0"/>
          <w:bCs w:val="0"/>
          <w:i w:val="0"/>
          <w:iCs w:val="0"/>
          <w:sz w:val="44"/>
          <w:szCs w:val="44"/>
        </w:rPr>
        <w:t>药品质量安全信用评价标准</w:t>
      </w:r>
      <w:r>
        <w:rPr>
          <w:rFonts w:hint="eastAsia" w:ascii="方正小标宋简体" w:hAnsi="方正小标宋简体" w:eastAsia="方正小标宋简体" w:cs="方正小标宋简体"/>
          <w:b w:val="0"/>
          <w:bCs w:val="0"/>
          <w:i w:val="0"/>
          <w:iCs w:val="0"/>
          <w:sz w:val="44"/>
          <w:szCs w:val="44"/>
          <w:lang w:eastAsia="zh-CN"/>
        </w:rPr>
        <w:t>（试行）</w:t>
      </w:r>
    </w:p>
    <w:p>
      <w:pPr>
        <w:rPr>
          <w:rFonts w:hint="eastAsia"/>
        </w:rPr>
      </w:pPr>
    </w:p>
    <w:tbl>
      <w:tblPr>
        <w:tblStyle w:val="7"/>
        <w:tblW w:w="14198"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24"/>
        <w:gridCol w:w="753"/>
        <w:gridCol w:w="730"/>
        <w:gridCol w:w="739"/>
        <w:gridCol w:w="3306"/>
        <w:gridCol w:w="1541"/>
        <w:gridCol w:w="3862"/>
        <w:gridCol w:w="1623"/>
        <w:gridCol w:w="11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25" w:hRule="atLeast"/>
          <w:tblCellSpacing w:w="0" w:type="dxa"/>
          <w:jc w:val="center"/>
        </w:trPr>
        <w:tc>
          <w:tcPr>
            <w:tcW w:w="524"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国标黑体" w:hAnsi="国标黑体" w:eastAsia="国标黑体" w:cs="国标黑体"/>
                <w:b w:val="0"/>
                <w:bCs w:val="0"/>
                <w:i w:val="0"/>
                <w:iCs w:val="0"/>
                <w:kern w:val="0"/>
                <w:sz w:val="24"/>
                <w:szCs w:val="24"/>
                <w:lang w:val="en-US" w:eastAsia="zh-CN" w:bidi="ar"/>
              </w:rPr>
            </w:pPr>
            <w:r>
              <w:rPr>
                <w:rFonts w:hint="eastAsia" w:ascii="国标黑体" w:hAnsi="国标黑体" w:eastAsia="国标黑体" w:cs="国标黑体"/>
                <w:b w:val="0"/>
                <w:bCs w:val="0"/>
                <w:i w:val="0"/>
                <w:iCs w:val="0"/>
                <w:kern w:val="0"/>
                <w:sz w:val="24"/>
                <w:szCs w:val="24"/>
                <w:lang w:val="en-US" w:eastAsia="zh-CN" w:bidi="ar"/>
              </w:rPr>
              <w:t>序号</w:t>
            </w:r>
          </w:p>
        </w:tc>
        <w:tc>
          <w:tcPr>
            <w:tcW w:w="753"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国标黑体" w:hAnsi="国标黑体" w:eastAsia="国标黑体" w:cs="国标黑体"/>
                <w:b w:val="0"/>
                <w:bCs w:val="0"/>
                <w:i w:val="0"/>
                <w:iCs w:val="0"/>
                <w:kern w:val="0"/>
                <w:sz w:val="24"/>
                <w:szCs w:val="24"/>
                <w:lang w:val="en-US" w:eastAsia="zh-CN" w:bidi="ar"/>
              </w:rPr>
            </w:pPr>
            <w:r>
              <w:rPr>
                <w:rFonts w:hint="eastAsia" w:ascii="国标黑体" w:hAnsi="国标黑体" w:eastAsia="国标黑体" w:cs="国标黑体"/>
                <w:b w:val="0"/>
                <w:bCs w:val="0"/>
                <w:i w:val="0"/>
                <w:iCs w:val="0"/>
                <w:kern w:val="0"/>
                <w:sz w:val="24"/>
                <w:szCs w:val="24"/>
                <w:lang w:val="en-US" w:eastAsia="zh-CN" w:bidi="ar"/>
              </w:rPr>
              <w:t>一级指标</w:t>
            </w:r>
          </w:p>
        </w:tc>
        <w:tc>
          <w:tcPr>
            <w:tcW w:w="730"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国标黑体" w:hAnsi="国标黑体" w:eastAsia="国标黑体" w:cs="国标黑体"/>
                <w:b w:val="0"/>
                <w:bCs w:val="0"/>
                <w:i w:val="0"/>
                <w:iCs w:val="0"/>
                <w:kern w:val="0"/>
                <w:sz w:val="24"/>
                <w:szCs w:val="24"/>
                <w:lang w:val="en-US" w:eastAsia="zh-CN" w:bidi="ar"/>
              </w:rPr>
            </w:pPr>
            <w:r>
              <w:rPr>
                <w:rFonts w:hint="eastAsia" w:ascii="国标黑体" w:hAnsi="国标黑体" w:eastAsia="国标黑体" w:cs="国标黑体"/>
                <w:b w:val="0"/>
                <w:bCs w:val="0"/>
                <w:i w:val="0"/>
                <w:iCs w:val="0"/>
                <w:kern w:val="0"/>
                <w:sz w:val="24"/>
                <w:szCs w:val="24"/>
                <w:lang w:val="en-US" w:eastAsia="zh-CN" w:bidi="ar"/>
              </w:rPr>
              <w:t>基准分值</w:t>
            </w:r>
          </w:p>
        </w:tc>
        <w:tc>
          <w:tcPr>
            <w:tcW w:w="739"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国标黑体" w:hAnsi="国标黑体" w:eastAsia="国标黑体" w:cs="国标黑体"/>
                <w:b w:val="0"/>
                <w:bCs w:val="0"/>
                <w:i w:val="0"/>
                <w:iCs w:val="0"/>
                <w:kern w:val="0"/>
                <w:sz w:val="24"/>
                <w:szCs w:val="24"/>
                <w:lang w:val="en-US" w:eastAsia="zh-CN" w:bidi="ar"/>
              </w:rPr>
            </w:pPr>
            <w:r>
              <w:rPr>
                <w:rFonts w:hint="eastAsia" w:ascii="国标黑体" w:hAnsi="国标黑体" w:eastAsia="国标黑体" w:cs="国标黑体"/>
                <w:b w:val="0"/>
                <w:bCs w:val="0"/>
                <w:i w:val="0"/>
                <w:iCs w:val="0"/>
                <w:kern w:val="0"/>
                <w:sz w:val="24"/>
                <w:szCs w:val="24"/>
                <w:lang w:val="en-US" w:eastAsia="zh-CN" w:bidi="ar"/>
              </w:rPr>
              <w:t>二级指标</w:t>
            </w:r>
          </w:p>
        </w:tc>
        <w:tc>
          <w:tcPr>
            <w:tcW w:w="3306"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国标黑体" w:hAnsi="国标黑体" w:eastAsia="国标黑体" w:cs="国标黑体"/>
                <w:b w:val="0"/>
                <w:bCs w:val="0"/>
                <w:i w:val="0"/>
                <w:iCs w:val="0"/>
                <w:kern w:val="0"/>
                <w:sz w:val="24"/>
                <w:szCs w:val="24"/>
                <w:lang w:val="en-US" w:eastAsia="zh-CN" w:bidi="ar"/>
              </w:rPr>
            </w:pPr>
            <w:r>
              <w:rPr>
                <w:rFonts w:hint="eastAsia" w:ascii="国标黑体" w:hAnsi="国标黑体" w:eastAsia="国标黑体" w:cs="国标黑体"/>
                <w:b w:val="0"/>
                <w:bCs w:val="0"/>
                <w:i w:val="0"/>
                <w:iCs w:val="0"/>
                <w:kern w:val="0"/>
                <w:sz w:val="24"/>
                <w:szCs w:val="24"/>
                <w:lang w:val="en-US" w:eastAsia="zh-CN" w:bidi="ar"/>
              </w:rPr>
              <w:t>三级指标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国标黑体" w:hAnsi="国标黑体" w:eastAsia="国标黑体" w:cs="国标黑体"/>
                <w:b w:val="0"/>
                <w:bCs w:val="0"/>
                <w:i w:val="0"/>
                <w:iCs w:val="0"/>
                <w:kern w:val="0"/>
                <w:sz w:val="24"/>
                <w:szCs w:val="24"/>
                <w:lang w:val="en-US" w:eastAsia="zh-CN" w:bidi="ar"/>
              </w:rPr>
            </w:pPr>
            <w:r>
              <w:rPr>
                <w:rFonts w:hint="eastAsia" w:ascii="国标黑体" w:hAnsi="国标黑体" w:eastAsia="国标黑体" w:cs="国标黑体"/>
                <w:b w:val="0"/>
                <w:bCs w:val="0"/>
                <w:i w:val="0"/>
                <w:iCs w:val="0"/>
                <w:kern w:val="0"/>
                <w:sz w:val="24"/>
                <w:szCs w:val="24"/>
                <w:lang w:val="en-US" w:eastAsia="zh-CN" w:bidi="ar"/>
              </w:rPr>
              <w:t>（评价指标）</w:t>
            </w:r>
          </w:p>
        </w:tc>
        <w:tc>
          <w:tcPr>
            <w:tcW w:w="1541"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国标黑体" w:hAnsi="国标黑体" w:eastAsia="国标黑体" w:cs="国标黑体"/>
                <w:b w:val="0"/>
                <w:bCs w:val="0"/>
                <w:i w:val="0"/>
                <w:iCs w:val="0"/>
                <w:kern w:val="0"/>
                <w:sz w:val="24"/>
                <w:szCs w:val="24"/>
                <w:lang w:val="en-US" w:eastAsia="zh-CN" w:bidi="ar"/>
              </w:rPr>
            </w:pPr>
            <w:r>
              <w:rPr>
                <w:rFonts w:hint="eastAsia" w:ascii="国标黑体" w:hAnsi="国标黑体" w:eastAsia="国标黑体" w:cs="国标黑体"/>
                <w:b w:val="0"/>
                <w:bCs w:val="0"/>
                <w:i w:val="0"/>
                <w:iCs w:val="0"/>
                <w:kern w:val="0"/>
                <w:sz w:val="24"/>
                <w:szCs w:val="24"/>
                <w:lang w:val="en-US" w:eastAsia="zh-CN" w:bidi="ar"/>
              </w:rPr>
              <w:t>分值</w:t>
            </w:r>
          </w:p>
        </w:tc>
        <w:tc>
          <w:tcPr>
            <w:tcW w:w="386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国标黑体" w:hAnsi="国标黑体" w:eastAsia="国标黑体" w:cs="国标黑体"/>
                <w:b w:val="0"/>
                <w:bCs w:val="0"/>
                <w:i w:val="0"/>
                <w:iCs w:val="0"/>
                <w:kern w:val="0"/>
                <w:sz w:val="24"/>
                <w:szCs w:val="24"/>
                <w:lang w:val="en-US" w:eastAsia="zh-CN" w:bidi="ar"/>
              </w:rPr>
            </w:pPr>
            <w:r>
              <w:rPr>
                <w:rFonts w:hint="eastAsia" w:ascii="国标黑体" w:hAnsi="国标黑体" w:eastAsia="国标黑体" w:cs="国标黑体"/>
                <w:b w:val="0"/>
                <w:bCs w:val="0"/>
                <w:i w:val="0"/>
                <w:iCs w:val="0"/>
                <w:kern w:val="0"/>
                <w:sz w:val="24"/>
                <w:szCs w:val="24"/>
                <w:lang w:val="en-US" w:eastAsia="zh-CN" w:bidi="ar"/>
              </w:rPr>
              <w:t>评价方法</w:t>
            </w:r>
          </w:p>
        </w:tc>
        <w:tc>
          <w:tcPr>
            <w:tcW w:w="1623"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国标黑体" w:hAnsi="国标黑体" w:eastAsia="国标黑体" w:cs="国标黑体"/>
                <w:b w:val="0"/>
                <w:bCs w:val="0"/>
                <w:i w:val="0"/>
                <w:iCs w:val="0"/>
                <w:kern w:val="0"/>
                <w:sz w:val="24"/>
                <w:szCs w:val="24"/>
                <w:lang w:val="en-US" w:eastAsia="zh-CN" w:bidi="ar"/>
              </w:rPr>
            </w:pPr>
            <w:r>
              <w:rPr>
                <w:rFonts w:hint="eastAsia" w:ascii="国标黑体" w:hAnsi="国标黑体" w:eastAsia="国标黑体" w:cs="国标黑体"/>
                <w:b w:val="0"/>
                <w:bCs w:val="0"/>
                <w:i w:val="0"/>
                <w:iCs w:val="0"/>
                <w:kern w:val="0"/>
                <w:sz w:val="24"/>
                <w:szCs w:val="24"/>
                <w:lang w:val="en-US" w:eastAsia="zh-CN" w:bidi="ar"/>
              </w:rPr>
              <w:t>数据来源（数据提供单位）</w:t>
            </w:r>
          </w:p>
        </w:tc>
        <w:tc>
          <w:tcPr>
            <w:tcW w:w="1120"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国标黑体" w:hAnsi="国标黑体" w:eastAsia="国标黑体" w:cs="国标黑体"/>
                <w:b w:val="0"/>
                <w:bCs w:val="0"/>
                <w:i w:val="0"/>
                <w:iCs w:val="0"/>
                <w:kern w:val="0"/>
                <w:sz w:val="24"/>
                <w:szCs w:val="24"/>
                <w:lang w:val="en-US" w:eastAsia="zh-CN" w:bidi="ar"/>
              </w:rPr>
            </w:pPr>
            <w:r>
              <w:rPr>
                <w:rFonts w:hint="eastAsia" w:ascii="国标黑体" w:hAnsi="国标黑体" w:eastAsia="国标黑体" w:cs="国标黑体"/>
                <w:b w:val="0"/>
                <w:bCs w:val="0"/>
                <w:i w:val="0"/>
                <w:iCs w:val="0"/>
                <w:kern w:val="0"/>
                <w:sz w:val="24"/>
                <w:szCs w:val="24"/>
                <w:lang w:val="en-US" w:eastAsia="zh-CN" w:bidi="ar"/>
              </w:rPr>
              <w:t>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国标黑体" w:hAnsi="国标黑体" w:eastAsia="国标黑体" w:cs="国标黑体"/>
                <w:b w:val="0"/>
                <w:bCs w:val="0"/>
                <w:i w:val="0"/>
                <w:iCs w:val="0"/>
                <w:kern w:val="0"/>
                <w:sz w:val="24"/>
                <w:szCs w:val="24"/>
                <w:lang w:val="en-US" w:eastAsia="zh-CN" w:bidi="ar"/>
              </w:rPr>
            </w:pPr>
            <w:r>
              <w:rPr>
                <w:rFonts w:hint="eastAsia" w:ascii="国标黑体" w:hAnsi="国标黑体" w:eastAsia="国标黑体" w:cs="国标黑体"/>
                <w:b w:val="0"/>
                <w:bCs w:val="0"/>
                <w:i w:val="0"/>
                <w:iCs w:val="0"/>
                <w:kern w:val="0"/>
                <w:sz w:val="24"/>
                <w:szCs w:val="24"/>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w:t>
            </w:r>
          </w:p>
        </w:tc>
        <w:tc>
          <w:tcPr>
            <w:tcW w:w="753"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遵纪守法</w:t>
            </w:r>
          </w:p>
        </w:tc>
        <w:tc>
          <w:tcPr>
            <w:tcW w:w="730"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220</w:t>
            </w:r>
          </w:p>
        </w:tc>
        <w:tc>
          <w:tcPr>
            <w:tcW w:w="739"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行政处理</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被责令限期改正、警告的。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-50分/次</w:t>
            </w:r>
          </w:p>
        </w:tc>
        <w:tc>
          <w:tcPr>
            <w:tcW w:w="3862"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1.企业基准分值为220，即按照二、三级指标从220分起扣分，扣完为止；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2.本二级指标项下，案件信息应在结案后使用，同起案件存在多个扣分项的，按最高扣分项扣分；存在多起案件的，分别予以扣分。</w:t>
            </w:r>
          </w:p>
        </w:tc>
        <w:tc>
          <w:tcPr>
            <w:tcW w:w="1623"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1.市场监督管理部门；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2.其他行政管理（执法）部门。</w:t>
            </w:r>
          </w:p>
        </w:tc>
        <w:tc>
          <w:tcPr>
            <w:tcW w:w="1120"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市场监督管理部门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9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w:t>
            </w:r>
          </w:p>
        </w:tc>
        <w:tc>
          <w:tcPr>
            <w:tcW w:w="75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rPr>
            </w:pPr>
          </w:p>
        </w:tc>
        <w:tc>
          <w:tcPr>
            <w:tcW w:w="73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rPr>
            </w:pPr>
          </w:p>
        </w:tc>
        <w:tc>
          <w:tcPr>
            <w:tcW w:w="739"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sz w:val="28"/>
                <w:szCs w:val="28"/>
                <w:lang w:val="en-US" w:eastAsia="zh-CN"/>
              </w:rPr>
            </w:pPr>
            <w:r>
              <w:rPr>
                <w:rFonts w:hint="default" w:ascii="Times New Roman" w:hAnsi="Times New Roman" w:eastAsia="仿宋_GB2312" w:cs="Times New Roman"/>
                <w:b w:val="0"/>
                <w:bCs w:val="0"/>
                <w:i w:val="0"/>
                <w:iCs w:val="0"/>
                <w:kern w:val="0"/>
                <w:sz w:val="28"/>
                <w:szCs w:val="28"/>
                <w:lang w:val="en-US" w:eastAsia="zh-CN" w:bidi="ar"/>
              </w:rPr>
              <w:t>1.被处以罚款、没收违法所</w:t>
            </w:r>
            <w:r>
              <w:rPr>
                <w:rFonts w:hint="default" w:ascii="Times New Roman" w:hAnsi="Times New Roman" w:eastAsia="仿宋_GB2312" w:cs="Times New Roman"/>
                <w:b w:val="0"/>
                <w:bCs w:val="0"/>
                <w:i w:val="0"/>
                <w:iCs w:val="0"/>
                <w:sz w:val="28"/>
                <w:szCs w:val="28"/>
                <w:lang w:val="en-US" w:eastAsia="zh-CN"/>
              </w:rPr>
              <w:t>得、没收非法财物的；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sz w:val="28"/>
                <w:szCs w:val="28"/>
                <w:lang w:val="en-US" w:eastAsia="zh-CN"/>
              </w:rPr>
              <w:t>2.符合《药品管理法实施条例》第七十五条，有充分证据证</w:t>
            </w:r>
            <w:r>
              <w:rPr>
                <w:rFonts w:hint="default" w:ascii="Times New Roman" w:hAnsi="Times New Roman" w:eastAsia="仿宋_GB2312" w:cs="Times New Roman"/>
                <w:b w:val="0"/>
                <w:bCs w:val="0"/>
                <w:i w:val="0"/>
                <w:iCs w:val="0"/>
                <w:kern w:val="0"/>
                <w:sz w:val="28"/>
                <w:szCs w:val="28"/>
                <w:lang w:val="en-US" w:eastAsia="zh-CN" w:bidi="ar"/>
              </w:rPr>
              <w:t>明其不知道所销售或者使用的药品是假药、劣药的，不予扣分。</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1.-150分/次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2.不扣分</w:t>
            </w:r>
          </w:p>
        </w:tc>
        <w:tc>
          <w:tcPr>
            <w:tcW w:w="3862"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pageBreakBefore w:val="0"/>
              <w:kinsoku/>
              <w:wordWrap/>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8"/>
                <w:szCs w:val="28"/>
              </w:rPr>
            </w:pPr>
          </w:p>
        </w:tc>
        <w:tc>
          <w:tcPr>
            <w:tcW w:w="162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rPr>
            </w:pPr>
          </w:p>
        </w:tc>
        <w:tc>
          <w:tcPr>
            <w:tcW w:w="112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3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w:t>
            </w:r>
          </w:p>
        </w:tc>
        <w:tc>
          <w:tcPr>
            <w:tcW w:w="75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rPr>
            </w:pPr>
          </w:p>
        </w:tc>
        <w:tc>
          <w:tcPr>
            <w:tcW w:w="73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rPr>
            </w:pPr>
          </w:p>
        </w:tc>
        <w:tc>
          <w:tcPr>
            <w:tcW w:w="739"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企业法定代表人、主要负责人、质量负责人被限制从业、罚款、没收收入、责令解聘或吊销执业证书的。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-150分/次</w:t>
            </w:r>
          </w:p>
        </w:tc>
        <w:tc>
          <w:tcPr>
            <w:tcW w:w="3862"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pageBreakBefore w:val="0"/>
              <w:kinsoku/>
              <w:wordWrap/>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8"/>
                <w:szCs w:val="28"/>
              </w:rPr>
            </w:pPr>
          </w:p>
        </w:tc>
        <w:tc>
          <w:tcPr>
            <w:tcW w:w="162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rPr>
            </w:pPr>
          </w:p>
        </w:tc>
        <w:tc>
          <w:tcPr>
            <w:tcW w:w="112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90"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4</w:t>
            </w:r>
          </w:p>
        </w:tc>
        <w:tc>
          <w:tcPr>
            <w:tcW w:w="753" w:type="dxa"/>
            <w:vMerge w:val="restart"/>
            <w:tcBorders>
              <w:top w:val="nil"/>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主体责任</w:t>
            </w:r>
          </w:p>
        </w:tc>
        <w:tc>
          <w:tcPr>
            <w:tcW w:w="730" w:type="dxa"/>
            <w:vMerge w:val="restart"/>
            <w:tcBorders>
              <w:top w:val="nil"/>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310</w:t>
            </w:r>
          </w:p>
        </w:tc>
        <w:tc>
          <w:tcPr>
            <w:tcW w:w="739"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许可备案报告事项管理</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未按规定变更《药品经营许可证》登记事项的。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-50分</w:t>
            </w:r>
          </w:p>
        </w:tc>
        <w:tc>
          <w:tcPr>
            <w:tcW w:w="3862"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1.企业基准分值为310，即按照二、三级指标从310分起扣分，扣完为止；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2.本二级指标项下，相关信息应通过市场监督管理部门组织的各类检查、执法结果进行确认；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3.存在本二级指标项下行为且同时受到行政处理的，按照“遵纪守法”一级指标相应条款予以扣分。</w:t>
            </w:r>
          </w:p>
        </w:tc>
        <w:tc>
          <w:tcPr>
            <w:tcW w:w="1623"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门</w:t>
            </w:r>
          </w:p>
        </w:tc>
        <w:tc>
          <w:tcPr>
            <w:tcW w:w="1120"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70"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5</w:t>
            </w:r>
          </w:p>
        </w:tc>
        <w:tc>
          <w:tcPr>
            <w:tcW w:w="75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提供药品经营柜台、摊位、发票，或伪造、变造、出租、出借、买卖药品经营许可证。</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-150分</w:t>
            </w:r>
          </w:p>
        </w:tc>
        <w:tc>
          <w:tcPr>
            <w:tcW w:w="3862"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70"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6</w:t>
            </w:r>
          </w:p>
        </w:tc>
        <w:tc>
          <w:tcPr>
            <w:tcW w:w="75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行政许可、备案或其他报告事项办理中提供虚假资料的。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-150分</w:t>
            </w:r>
          </w:p>
        </w:tc>
        <w:tc>
          <w:tcPr>
            <w:tcW w:w="3862"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2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7</w:t>
            </w:r>
          </w:p>
        </w:tc>
        <w:tc>
          <w:tcPr>
            <w:tcW w:w="75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未向所在地市场监督管理部门报告开展药品网络销售活动，或在未报告的网络载体开展药品网络销售活动的。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-150分</w:t>
            </w:r>
          </w:p>
        </w:tc>
        <w:tc>
          <w:tcPr>
            <w:tcW w:w="3862"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6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8</w:t>
            </w:r>
          </w:p>
        </w:tc>
        <w:tc>
          <w:tcPr>
            <w:tcW w:w="75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超出核准的经营范围或方式经营药品、或超出《药品经营许可证》核准的经营地址和仓库地址经营药品和储存药品的。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-150分</w:t>
            </w:r>
          </w:p>
        </w:tc>
        <w:tc>
          <w:tcPr>
            <w:tcW w:w="3862"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9</w:t>
            </w:r>
          </w:p>
        </w:tc>
        <w:tc>
          <w:tcPr>
            <w:tcW w:w="75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不符合相关法律、法规、规章等规定的行政许可条件。</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-150分</w:t>
            </w:r>
          </w:p>
        </w:tc>
        <w:tc>
          <w:tcPr>
            <w:tcW w:w="3862"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10</w:t>
            </w:r>
          </w:p>
        </w:tc>
        <w:tc>
          <w:tcPr>
            <w:tcW w:w="75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信息报告</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存在瞒报有关信息的。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-150分/次</w:t>
            </w:r>
          </w:p>
        </w:tc>
        <w:tc>
          <w:tcPr>
            <w:tcW w:w="3862" w:type="dxa"/>
            <w:vMerge w:val="restart"/>
            <w:tcBorders>
              <w:top w:val="nil"/>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1.企业基准分值为310，即按照二、三级指标从310分起扣分，扣完为止；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 存在本二级指标项下行为且同时受到行政处理的，按照“遵纪守法”一级指标相应条款予以扣分。</w:t>
            </w:r>
          </w:p>
        </w:tc>
        <w:tc>
          <w:tcPr>
            <w:tcW w:w="1623" w:type="dxa"/>
            <w:vMerge w:val="restart"/>
            <w:tcBorders>
              <w:top w:val="nil"/>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restart"/>
            <w:tcBorders>
              <w:top w:val="nil"/>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11</w:t>
            </w:r>
          </w:p>
        </w:tc>
        <w:tc>
          <w:tcPr>
            <w:tcW w:w="75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存在漏报有关信息的。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-50分/次</w:t>
            </w:r>
          </w:p>
        </w:tc>
        <w:tc>
          <w:tcPr>
            <w:tcW w:w="3862"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12</w:t>
            </w:r>
          </w:p>
        </w:tc>
        <w:tc>
          <w:tcPr>
            <w:tcW w:w="75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其他药品相关法律、法规、</w:t>
            </w:r>
            <w:bookmarkStart w:id="1" w:name="_GoBack"/>
            <w:bookmarkEnd w:id="1"/>
            <w:r>
              <w:rPr>
                <w:rFonts w:hint="default" w:ascii="Times New Roman" w:hAnsi="Times New Roman" w:eastAsia="仿宋_GB2312" w:cs="Times New Roman"/>
                <w:b w:val="0"/>
                <w:bCs w:val="0"/>
                <w:i w:val="0"/>
                <w:iCs w:val="0"/>
                <w:kern w:val="0"/>
                <w:sz w:val="28"/>
                <w:szCs w:val="28"/>
                <w:lang w:val="en-US" w:eastAsia="zh-CN" w:bidi="ar"/>
              </w:rPr>
              <w:t>规章及文件规定应报未报的情形。</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-20分/次</w:t>
            </w:r>
          </w:p>
        </w:tc>
        <w:tc>
          <w:tcPr>
            <w:tcW w:w="3862"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2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13</w:t>
            </w:r>
          </w:p>
        </w:tc>
        <w:tc>
          <w:tcPr>
            <w:tcW w:w="75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风险管控</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对已识别的风险未采取有效的风险控制措施。</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-50分/次</w:t>
            </w:r>
          </w:p>
        </w:tc>
        <w:tc>
          <w:tcPr>
            <w:tcW w:w="3862"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5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14</w:t>
            </w:r>
          </w:p>
        </w:tc>
        <w:tc>
          <w:tcPr>
            <w:tcW w:w="75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药品经营过程控制、质量控制记录和数据与实际情况不符的。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-50分/次</w:t>
            </w:r>
          </w:p>
        </w:tc>
        <w:tc>
          <w:tcPr>
            <w:tcW w:w="3862"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6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bookmarkStart w:id="0" w:name="OLE_LINK6" w:colFirst="7" w:colLast="8"/>
            <w:r>
              <w:rPr>
                <w:rFonts w:hint="default" w:ascii="Times New Roman" w:hAnsi="Times New Roman" w:eastAsia="仿宋_GB2312" w:cs="Times New Roman"/>
                <w:b w:val="0"/>
                <w:bCs w:val="0"/>
                <w:i w:val="0"/>
                <w:iCs w:val="0"/>
                <w:kern w:val="0"/>
                <w:sz w:val="28"/>
                <w:szCs w:val="28"/>
                <w:lang w:val="en-US" w:eastAsia="zh-CN" w:bidi="ar"/>
              </w:rPr>
              <w:t>15</w:t>
            </w:r>
          </w:p>
        </w:tc>
        <w:tc>
          <w:tcPr>
            <w:tcW w:w="75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药品追溯</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未按照有关要求建立药品追溯体系并开展追溯工作的。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-50分/次</w:t>
            </w:r>
          </w:p>
        </w:tc>
        <w:tc>
          <w:tcPr>
            <w:tcW w:w="3862"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6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16</w:t>
            </w:r>
          </w:p>
        </w:tc>
        <w:tc>
          <w:tcPr>
            <w:tcW w:w="75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restart"/>
            <w:tcBorders>
              <w:top w:val="nil"/>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关联总部</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所属总部在上一年度药品质量安全信用等级评定结果为B级</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-20分/次</w:t>
            </w:r>
          </w:p>
        </w:tc>
        <w:tc>
          <w:tcPr>
            <w:tcW w:w="3862"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6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17</w:t>
            </w:r>
          </w:p>
        </w:tc>
        <w:tc>
          <w:tcPr>
            <w:tcW w:w="75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所属总部在上一年度药品质量安全信用等级评定结果为C级</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-30分/次</w:t>
            </w:r>
          </w:p>
        </w:tc>
        <w:tc>
          <w:tcPr>
            <w:tcW w:w="3862"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6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18</w:t>
            </w:r>
          </w:p>
        </w:tc>
        <w:tc>
          <w:tcPr>
            <w:tcW w:w="75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所属总部在上一年度药品质量安全信用等级评定结果为D级</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-40分/次</w:t>
            </w:r>
          </w:p>
        </w:tc>
        <w:tc>
          <w:tcPr>
            <w:tcW w:w="3862"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6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19</w:t>
            </w:r>
          </w:p>
        </w:tc>
        <w:tc>
          <w:tcPr>
            <w:tcW w:w="753" w:type="dxa"/>
            <w:vMerge w:val="continue"/>
            <w:tcBorders>
              <w:left w:val="nil"/>
              <w:bottom w:val="single" w:color="auto" w:sz="4"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所属总部在上一年度药品质量安全信用等级评定结果为E级</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-50分/次</w:t>
            </w:r>
          </w:p>
        </w:tc>
        <w:tc>
          <w:tcPr>
            <w:tcW w:w="3862" w:type="dxa"/>
            <w:vMerge w:val="continue"/>
            <w:tcBorders>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9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20</w:t>
            </w:r>
          </w:p>
        </w:tc>
        <w:tc>
          <w:tcPr>
            <w:tcW w:w="753"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督管理</w:t>
            </w:r>
          </w:p>
        </w:tc>
        <w:tc>
          <w:tcPr>
            <w:tcW w:w="730"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220</w:t>
            </w:r>
          </w:p>
        </w:tc>
        <w:tc>
          <w:tcPr>
            <w:tcW w:w="739"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配合检查</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拒绝、阻扰监管人员依法进行监督检查、抽检或者拒不配合执法人员依法进行案件调查的。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-100分/次</w:t>
            </w:r>
          </w:p>
        </w:tc>
        <w:tc>
          <w:tcPr>
            <w:tcW w:w="386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1.企业基准分值为220，即此项二、三级指标从220分起扣分，扣完为止；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2.本二级指标项下，相关信息应通过市场监督管理部门组织的各类检查、执法结果进行确认；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3.存在本二级指标项下行为且同时受到行政处理的，按照“遵纪守法”一级指标相应条款予以扣分。</w:t>
            </w:r>
          </w:p>
        </w:tc>
        <w:tc>
          <w:tcPr>
            <w:tcW w:w="1623"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1.市场监督管理部门；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2.其他行政管理（执法）部门。</w:t>
            </w:r>
          </w:p>
        </w:tc>
        <w:tc>
          <w:tcPr>
            <w:tcW w:w="112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市场监督管理部门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21</w:t>
            </w:r>
          </w:p>
        </w:tc>
        <w:tc>
          <w:tcPr>
            <w:tcW w:w="75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监督检查</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在市场监督管理部门组织的各类检查中存在严重缺陷的。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-150分/条</w:t>
            </w:r>
          </w:p>
        </w:tc>
        <w:tc>
          <w:tcPr>
            <w:tcW w:w="386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1.企业基准分值为220，即此项二、三级指标从220分起扣分，扣完为止；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2.存在本二级指标项下行为且同时受到行政处理的，按照“遵纪守法”一级指标相应条款予以扣分；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3.本二级指标项下，相关信息应通过市场监督管理部门组织的各类检查结果进行确认。</w:t>
            </w:r>
          </w:p>
        </w:tc>
        <w:tc>
          <w:tcPr>
            <w:tcW w:w="1623"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rPr>
                <w:rFonts w:hint="default" w:ascii="Times New Roman" w:hAnsi="Times New Roman" w:eastAsia="仿宋_GB2312" w:cs="Times New Roman"/>
                <w:b w:val="0"/>
                <w:bCs w:val="0"/>
                <w:i w:val="0"/>
                <w:iCs w:val="0"/>
                <w:kern w:val="0"/>
                <w:sz w:val="28"/>
                <w:szCs w:val="28"/>
                <w:lang w:val="en-US" w:eastAsia="zh-CN" w:bidi="ar"/>
              </w:rPr>
            </w:pPr>
          </w:p>
          <w:p>
            <w:pPr>
              <w:rPr>
                <w:rFonts w:hint="default" w:ascii="Times New Roman" w:hAnsi="Times New Roman" w:eastAsia="仿宋_GB2312" w:cs="Times New Roman"/>
                <w:b w:val="0"/>
                <w:bCs w:val="0"/>
                <w:i w:val="0"/>
                <w:iCs w:val="0"/>
                <w:kern w:val="0"/>
                <w:sz w:val="28"/>
                <w:szCs w:val="28"/>
                <w:lang w:val="en-US" w:eastAsia="zh-CN" w:bidi="ar"/>
              </w:rPr>
            </w:pPr>
          </w:p>
          <w:p>
            <w:pPr>
              <w:rPr>
                <w:rFonts w:hint="default" w:ascii="Times New Roman" w:hAnsi="Times New Roman" w:eastAsia="仿宋_GB2312" w:cs="Times New Roman"/>
                <w:b w:val="0"/>
                <w:bCs w:val="0"/>
                <w:i w:val="0"/>
                <w:iCs w:val="0"/>
                <w:kern w:val="0"/>
                <w:sz w:val="28"/>
                <w:szCs w:val="28"/>
                <w:lang w:val="en-US" w:eastAsia="zh-CN" w:bidi="ar"/>
              </w:rPr>
            </w:pPr>
          </w:p>
          <w:p>
            <w:pPr>
              <w:rPr>
                <w:rFonts w:hint="default" w:ascii="Times New Roman" w:hAnsi="Times New Roman" w:eastAsia="仿宋_GB2312" w:cs="Times New Roman"/>
                <w:b w:val="0"/>
                <w:bCs w:val="0"/>
                <w:i w:val="0"/>
                <w:iCs w:val="0"/>
                <w:kern w:val="0"/>
                <w:sz w:val="28"/>
                <w:szCs w:val="28"/>
                <w:lang w:val="en-US" w:eastAsia="zh-CN" w:bidi="ar"/>
              </w:rPr>
            </w:pPr>
          </w:p>
          <w:p>
            <w:pPr>
              <w:rPr>
                <w:rFonts w:hint="default" w:ascii="Times New Roman" w:hAnsi="Times New Roman" w:eastAsia="仿宋_GB2312" w:cs="Times New Roman"/>
                <w:b w:val="0"/>
                <w:bCs w:val="0"/>
                <w:i w:val="0"/>
                <w:iCs w:val="0"/>
                <w:kern w:val="0"/>
                <w:sz w:val="28"/>
                <w:szCs w:val="28"/>
                <w:lang w:val="en-US" w:eastAsia="zh-CN" w:bidi="ar"/>
              </w:rPr>
            </w:pPr>
          </w:p>
          <w:p>
            <w:pPr>
              <w:rPr>
                <w:rFonts w:hint="default" w:ascii="Times New Roman" w:hAnsi="Times New Roman" w:eastAsia="仿宋_GB2312" w:cs="Times New Roman"/>
                <w:b w:val="0"/>
                <w:bCs w:val="0"/>
                <w:i w:val="0"/>
                <w:iCs w:val="0"/>
                <w:kern w:val="0"/>
                <w:sz w:val="28"/>
                <w:szCs w:val="28"/>
                <w:lang w:val="en-US" w:eastAsia="zh-CN" w:bidi="ar"/>
              </w:rPr>
            </w:pPr>
          </w:p>
          <w:p>
            <w:pPr>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门</w:t>
            </w:r>
          </w:p>
        </w:tc>
        <w:tc>
          <w:tcPr>
            <w:tcW w:w="1120"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rPr>
                <w:rFonts w:hint="default" w:ascii="Times New Roman" w:hAnsi="Times New Roman" w:cs="Times New Roman"/>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2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22</w:t>
            </w:r>
          </w:p>
        </w:tc>
        <w:tc>
          <w:tcPr>
            <w:tcW w:w="75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在各类监督检查中，存在主要缺陷和一般缺陷可能引发较严重质量安全风险，检查结论为不符合要求的。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-100分/次</w:t>
            </w:r>
          </w:p>
        </w:tc>
        <w:tc>
          <w:tcPr>
            <w:tcW w:w="386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1.企业基准分值为220，即此项二、三级指标从220分起扣分，扣完为止；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2.存在本二级指标项下行为且同时受到行政处理的，按照“遵纪守法”一级指标相应条款予以扣分；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3.本二级指标项下，相关信息应通过市场监督管理部门组织的各类检查结果进行确认；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4.同一次检查中同时存在序号</w:t>
            </w:r>
            <w:r>
              <w:rPr>
                <w:rFonts w:hint="eastAsia" w:ascii="Times New Roman" w:hAnsi="Times New Roman" w:eastAsia="仿宋_GB2312" w:cs="Times New Roman"/>
                <w:b w:val="0"/>
                <w:bCs w:val="0"/>
                <w:i w:val="0"/>
                <w:iCs w:val="0"/>
                <w:kern w:val="0"/>
                <w:sz w:val="28"/>
                <w:szCs w:val="28"/>
                <w:lang w:val="en-US" w:eastAsia="zh-CN" w:bidi="ar"/>
              </w:rPr>
              <w:t>21</w:t>
            </w:r>
            <w:r>
              <w:rPr>
                <w:rFonts w:hint="default" w:ascii="Times New Roman" w:hAnsi="Times New Roman" w:eastAsia="仿宋_GB2312" w:cs="Times New Roman"/>
                <w:b w:val="0"/>
                <w:bCs w:val="0"/>
                <w:i w:val="0"/>
                <w:iCs w:val="0"/>
                <w:kern w:val="0"/>
                <w:sz w:val="28"/>
                <w:szCs w:val="28"/>
                <w:lang w:val="en-US" w:eastAsia="zh-CN" w:bidi="ar"/>
              </w:rPr>
              <w:t>情形的，本条指标不再重复扣分；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5.在同一个自然年内多次检查中存在序号</w:t>
            </w:r>
            <w:r>
              <w:rPr>
                <w:rFonts w:hint="eastAsia" w:ascii="Times New Roman" w:hAnsi="Times New Roman" w:eastAsia="仿宋_GB2312" w:cs="Times New Roman"/>
                <w:b w:val="0"/>
                <w:bCs w:val="0"/>
                <w:i w:val="0"/>
                <w:iCs w:val="0"/>
                <w:kern w:val="0"/>
                <w:sz w:val="28"/>
                <w:szCs w:val="28"/>
                <w:lang w:val="en-US" w:eastAsia="zh-CN" w:bidi="ar"/>
              </w:rPr>
              <w:t>22</w:t>
            </w:r>
            <w:r>
              <w:rPr>
                <w:rFonts w:hint="default" w:ascii="Times New Roman" w:hAnsi="Times New Roman" w:eastAsia="仿宋_GB2312" w:cs="Times New Roman"/>
                <w:b w:val="0"/>
                <w:bCs w:val="0"/>
                <w:i w:val="0"/>
                <w:iCs w:val="0"/>
                <w:kern w:val="0"/>
                <w:sz w:val="28"/>
                <w:szCs w:val="28"/>
                <w:lang w:val="en-US" w:eastAsia="zh-CN" w:bidi="ar"/>
              </w:rPr>
              <w:t>情形的，分别予以扣分。</w:t>
            </w:r>
          </w:p>
        </w:tc>
        <w:tc>
          <w:tcPr>
            <w:tcW w:w="162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10"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23</w:t>
            </w:r>
          </w:p>
        </w:tc>
        <w:tc>
          <w:tcPr>
            <w:tcW w:w="75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在市场监督管理部门监督检查中被发现存在缺陷在限期整改时限内未整改或整改不到位的。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-50分/次</w:t>
            </w:r>
          </w:p>
        </w:tc>
        <w:tc>
          <w:tcPr>
            <w:tcW w:w="386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1.企业基准分值为220，即此项二、三级指标从220分起扣分，扣完为止；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2.存在本二级指标项下行为且同时受到行政处理的，按照“遵纪守法”一级指标相应条款予以扣分；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3.本二级指标项下，相关信息应通过市场监督管理部门组织的各类检查结果进行确认。</w:t>
            </w:r>
          </w:p>
        </w:tc>
        <w:tc>
          <w:tcPr>
            <w:tcW w:w="162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0"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24</w:t>
            </w:r>
          </w:p>
        </w:tc>
        <w:tc>
          <w:tcPr>
            <w:tcW w:w="75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在市场监督管理部门监督检查中被发现存在主要缺陷的。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单次现场检查存在的主要缺陷不满3条（含3条）的不扣分，主要缺陷超过3条的，自第4条起，每增加1条-10分</w:t>
            </w:r>
          </w:p>
        </w:tc>
        <w:tc>
          <w:tcPr>
            <w:tcW w:w="386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1.企业基准分值为220，即此项二、三级指标从220分起扣分，扣完为止；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2.存在本二级指标项下行为且同时受到行政处理的，按照“遵纪守法”一级指标相应条款予以扣分；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3.本二级指标项下，相关信息应通过市场监督管理部门组织的各类检查结果进行确认；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4.同一次检查中同时存在序号</w:t>
            </w:r>
            <w:r>
              <w:rPr>
                <w:rFonts w:hint="eastAsia" w:ascii="Times New Roman" w:hAnsi="Times New Roman" w:eastAsia="仿宋_GB2312" w:cs="Times New Roman"/>
                <w:b w:val="0"/>
                <w:bCs w:val="0"/>
                <w:i w:val="0"/>
                <w:iCs w:val="0"/>
                <w:kern w:val="0"/>
                <w:sz w:val="28"/>
                <w:szCs w:val="28"/>
                <w:lang w:val="en-US" w:eastAsia="zh-CN" w:bidi="ar"/>
              </w:rPr>
              <w:t>21</w:t>
            </w:r>
            <w:r>
              <w:rPr>
                <w:rFonts w:hint="default" w:ascii="Times New Roman" w:hAnsi="Times New Roman" w:eastAsia="仿宋_GB2312" w:cs="Times New Roman"/>
                <w:b w:val="0"/>
                <w:bCs w:val="0"/>
                <w:i w:val="0"/>
                <w:iCs w:val="0"/>
                <w:kern w:val="0"/>
                <w:sz w:val="28"/>
                <w:szCs w:val="28"/>
                <w:lang w:val="en-US" w:eastAsia="zh-CN" w:bidi="ar"/>
              </w:rPr>
              <w:t>或</w:t>
            </w:r>
            <w:r>
              <w:rPr>
                <w:rFonts w:hint="eastAsia" w:ascii="Times New Roman" w:hAnsi="Times New Roman" w:eastAsia="仿宋_GB2312" w:cs="Times New Roman"/>
                <w:b w:val="0"/>
                <w:bCs w:val="0"/>
                <w:i w:val="0"/>
                <w:iCs w:val="0"/>
                <w:kern w:val="0"/>
                <w:sz w:val="28"/>
                <w:szCs w:val="28"/>
                <w:lang w:val="en-US" w:eastAsia="zh-CN" w:bidi="ar"/>
              </w:rPr>
              <w:t>22</w:t>
            </w:r>
            <w:r>
              <w:rPr>
                <w:rFonts w:hint="default" w:ascii="Times New Roman" w:hAnsi="Times New Roman" w:eastAsia="仿宋_GB2312" w:cs="Times New Roman"/>
                <w:b w:val="0"/>
                <w:bCs w:val="0"/>
                <w:i w:val="0"/>
                <w:iCs w:val="0"/>
                <w:kern w:val="0"/>
                <w:sz w:val="28"/>
                <w:szCs w:val="28"/>
                <w:lang w:val="en-US" w:eastAsia="zh-CN" w:bidi="ar"/>
              </w:rPr>
              <w:t>情形的，本条指标不再重复扣分；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5.在同一个自然年内多次检查中存在序号</w:t>
            </w:r>
            <w:r>
              <w:rPr>
                <w:rFonts w:hint="eastAsia" w:ascii="Times New Roman" w:hAnsi="Times New Roman" w:eastAsia="仿宋_GB2312" w:cs="Times New Roman"/>
                <w:b w:val="0"/>
                <w:bCs w:val="0"/>
                <w:i w:val="0"/>
                <w:iCs w:val="0"/>
                <w:kern w:val="0"/>
                <w:sz w:val="28"/>
                <w:szCs w:val="28"/>
                <w:lang w:val="en-US" w:eastAsia="zh-CN" w:bidi="ar"/>
              </w:rPr>
              <w:t>22</w:t>
            </w:r>
            <w:r>
              <w:rPr>
                <w:rFonts w:hint="default" w:ascii="Times New Roman" w:hAnsi="Times New Roman" w:eastAsia="仿宋_GB2312" w:cs="Times New Roman"/>
                <w:b w:val="0"/>
                <w:bCs w:val="0"/>
                <w:i w:val="0"/>
                <w:iCs w:val="0"/>
                <w:kern w:val="0"/>
                <w:sz w:val="28"/>
                <w:szCs w:val="28"/>
                <w:lang w:val="en-US" w:eastAsia="zh-CN" w:bidi="ar"/>
              </w:rPr>
              <w:t>或</w:t>
            </w:r>
            <w:r>
              <w:rPr>
                <w:rFonts w:hint="eastAsia" w:ascii="Times New Roman" w:hAnsi="Times New Roman" w:eastAsia="仿宋_GB2312" w:cs="Times New Roman"/>
                <w:b w:val="0"/>
                <w:bCs w:val="0"/>
                <w:i w:val="0"/>
                <w:iCs w:val="0"/>
                <w:kern w:val="0"/>
                <w:sz w:val="28"/>
                <w:szCs w:val="28"/>
                <w:lang w:val="en-US" w:eastAsia="zh-CN" w:bidi="ar"/>
              </w:rPr>
              <w:t>23</w:t>
            </w:r>
            <w:r>
              <w:rPr>
                <w:rFonts w:hint="default" w:ascii="Times New Roman" w:hAnsi="Times New Roman" w:eastAsia="仿宋_GB2312" w:cs="Times New Roman"/>
                <w:b w:val="0"/>
                <w:bCs w:val="0"/>
                <w:i w:val="0"/>
                <w:iCs w:val="0"/>
                <w:kern w:val="0"/>
                <w:sz w:val="28"/>
                <w:szCs w:val="28"/>
                <w:lang w:val="en-US" w:eastAsia="zh-CN" w:bidi="ar"/>
              </w:rPr>
              <w:t>情形的，分别予以扣分。</w:t>
            </w:r>
          </w:p>
        </w:tc>
        <w:tc>
          <w:tcPr>
            <w:tcW w:w="162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2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25</w:t>
            </w:r>
          </w:p>
        </w:tc>
        <w:tc>
          <w:tcPr>
            <w:tcW w:w="75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风险处置</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因药品存在质量问题或其他安全隐患，不配合市场监督管理部门采取暂停销售等控制措施的。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-100分/次</w:t>
            </w:r>
          </w:p>
        </w:tc>
        <w:tc>
          <w:tcPr>
            <w:tcW w:w="3862"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1.企业基准分值为220，即此项二、三级指标从220分起扣分，扣完为止；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2.存在本二级指标项下行为且同时受到行政处理的，按照“遵纪守法”一级指标相应条款予以扣分。</w:t>
            </w:r>
          </w:p>
        </w:tc>
        <w:tc>
          <w:tcPr>
            <w:tcW w:w="1623"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市场监督管理部门</w:t>
            </w:r>
          </w:p>
        </w:tc>
        <w:tc>
          <w:tcPr>
            <w:tcW w:w="1120"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市场监督管理部门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6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26</w:t>
            </w:r>
          </w:p>
        </w:tc>
        <w:tc>
          <w:tcPr>
            <w:tcW w:w="75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因药品存在质量问题或其他安全隐患，被市场监督管理部门约谈的。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-50分/次</w:t>
            </w:r>
          </w:p>
        </w:tc>
        <w:tc>
          <w:tcPr>
            <w:tcW w:w="3862"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60"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27</w:t>
            </w:r>
          </w:p>
        </w:tc>
        <w:tc>
          <w:tcPr>
            <w:tcW w:w="75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质量抽检</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因零售药店原因在各级市场监督管理部门药品质量抽检中存在不合格情况的；零售药店免于处罚的，不予扣分。</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-50分/批次</w:t>
            </w:r>
          </w:p>
        </w:tc>
        <w:tc>
          <w:tcPr>
            <w:tcW w:w="3862"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28</w:t>
            </w:r>
          </w:p>
        </w:tc>
        <w:tc>
          <w:tcPr>
            <w:tcW w:w="753"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社会责任</w:t>
            </w:r>
          </w:p>
        </w:tc>
        <w:tc>
          <w:tcPr>
            <w:tcW w:w="730"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150</w:t>
            </w:r>
          </w:p>
        </w:tc>
        <w:tc>
          <w:tcPr>
            <w:tcW w:w="739"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举报投诉</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存在与药品质量有关的投诉举报被查实的；有充分证据证明投诉举报内容非企业造成的，不予扣分。</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-25分/次</w:t>
            </w:r>
          </w:p>
        </w:tc>
        <w:tc>
          <w:tcPr>
            <w:tcW w:w="3862" w:type="dxa"/>
            <w:vMerge w:val="restart"/>
            <w:tcBorders>
              <w:top w:val="nil"/>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1.企业基准分值为150，即此项二、三级指标从150分起扣分，扣完为止；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2.存在本二级指标项下行为且同时受到行政处理的，按照“遵纪守法”一级指标相应条款予以扣分。</w:t>
            </w:r>
          </w:p>
        </w:tc>
        <w:tc>
          <w:tcPr>
            <w:tcW w:w="1623" w:type="dxa"/>
            <w:vMerge w:val="restart"/>
            <w:tcBorders>
              <w:top w:val="nil"/>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市场监督管理部门</w:t>
            </w:r>
          </w:p>
        </w:tc>
        <w:tc>
          <w:tcPr>
            <w:tcW w:w="1120" w:type="dxa"/>
            <w:vMerge w:val="restart"/>
            <w:tcBorders>
              <w:top w:val="nil"/>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市场监督管理部门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9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29</w:t>
            </w:r>
          </w:p>
        </w:tc>
        <w:tc>
          <w:tcPr>
            <w:tcW w:w="75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社会舆情</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1.因零售药店质量等原因引发社会舆情，造成社会不良影响的；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2.企业采取有效措施积极应对、降低舆情影响的。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1.-80分/次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2.-30分/次</w:t>
            </w:r>
          </w:p>
        </w:tc>
        <w:tc>
          <w:tcPr>
            <w:tcW w:w="3862"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vMerge w:val="continue"/>
            <w:tcBorders>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30</w:t>
            </w:r>
          </w:p>
        </w:tc>
        <w:tc>
          <w:tcPr>
            <w:tcW w:w="75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企业公共信用</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企业公共信用评价结果。</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-（1000-企业公共信用评价分值）/10</w:t>
            </w:r>
          </w:p>
        </w:tc>
        <w:tc>
          <w:tcPr>
            <w:tcW w:w="3862" w:type="dxa"/>
            <w:vMerge w:val="continue"/>
            <w:tcBorders>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623"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市发展改革委</w:t>
            </w:r>
          </w:p>
        </w:tc>
        <w:tc>
          <w:tcPr>
            <w:tcW w:w="1120"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市场监督管理部门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31</w:t>
            </w:r>
          </w:p>
        </w:tc>
        <w:tc>
          <w:tcPr>
            <w:tcW w:w="753"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正向激励</w:t>
            </w:r>
          </w:p>
        </w:tc>
        <w:tc>
          <w:tcPr>
            <w:tcW w:w="730" w:type="dxa"/>
            <w:vMerge w:val="restart"/>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0</w:t>
            </w:r>
          </w:p>
        </w:tc>
        <w:tc>
          <w:tcPr>
            <w:tcW w:w="739" w:type="dxa"/>
            <w:tcBorders>
              <w:top w:val="nil"/>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企业自律</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企业主动参与民生实事、示范创建、试点项目。</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+30分/年·项</w:t>
            </w:r>
          </w:p>
        </w:tc>
        <w:tc>
          <w:tcPr>
            <w:tcW w:w="3862" w:type="dxa"/>
            <w:tcBorders>
              <w:top w:val="nil"/>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1.企业基准分值为0，即此项二、三级指标从0分起加分，加分上限为100分；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2.零售药店按参与项目分别予以加分。</w:t>
            </w:r>
          </w:p>
        </w:tc>
        <w:tc>
          <w:tcPr>
            <w:tcW w:w="1623" w:type="dxa"/>
            <w:vMerge w:val="restart"/>
            <w:tcBorders>
              <w:top w:val="nil"/>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自</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restart"/>
            <w:tcBorders>
              <w:top w:val="nil"/>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10"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32</w:t>
            </w:r>
          </w:p>
        </w:tc>
        <w:tc>
          <w:tcPr>
            <w:tcW w:w="75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荣誉奖励</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企业取得县级及以上人民政府颁发的有关药品质量安全荣誉奖励的。</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省级及以上、市级、县级分别+50 分、+30分、+20 分/年·项</w:t>
            </w:r>
          </w:p>
        </w:tc>
        <w:tc>
          <w:tcPr>
            <w:tcW w:w="386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 xml:space="preserve">1.企业基准分值为 0，即此项二、三级指标从0分起加分，加分上限为100分；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2.企业年内获得多个不同级别荣誉奖励的，分别予以加分。</w:t>
            </w:r>
          </w:p>
        </w:tc>
        <w:tc>
          <w:tcPr>
            <w:tcW w:w="1623"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2"/>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left w:val="nil"/>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2"/>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5" w:hRule="atLeast"/>
          <w:tblCellSpacing w:w="0" w:type="dxa"/>
          <w:jc w:val="center"/>
        </w:trPr>
        <w:tc>
          <w:tcPr>
            <w:tcW w:w="524"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33</w:t>
            </w:r>
          </w:p>
        </w:tc>
        <w:tc>
          <w:tcPr>
            <w:tcW w:w="753"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0" w:type="dxa"/>
            <w:vMerge w:val="continue"/>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739"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社会责任激励</w:t>
            </w:r>
          </w:p>
        </w:tc>
        <w:tc>
          <w:tcPr>
            <w:tcW w:w="330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企业自发组织药事服务相关的社会公益活动。</w:t>
            </w:r>
          </w:p>
        </w:tc>
        <w:tc>
          <w:tcPr>
            <w:tcW w:w="154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+10分/次</w:t>
            </w:r>
          </w:p>
        </w:tc>
        <w:tc>
          <w:tcPr>
            <w:tcW w:w="386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1.企业基准分值为0，即此项二、三级指标从0分起加分，加分上限为50分；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2.零售药店自发组织药事服务相关的社会公益活动，每次予以加分。</w:t>
            </w:r>
          </w:p>
        </w:tc>
        <w:tc>
          <w:tcPr>
            <w:tcW w:w="1623" w:type="dxa"/>
            <w:vMerge w:val="continue"/>
            <w:tcBorders>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c>
          <w:tcPr>
            <w:tcW w:w="1120" w:type="dxa"/>
            <w:vMerge w:val="continue"/>
            <w:tcBorders>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_GB2312" w:cs="Times New Roman"/>
                <w:b w:val="0"/>
                <w:bCs w:val="0"/>
                <w:i w:val="0"/>
                <w:iCs w:val="0"/>
                <w:kern w:val="0"/>
                <w:sz w:val="28"/>
                <w:szCs w:val="28"/>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10" w:hRule="atLeast"/>
          <w:tblCellSpacing w:w="0" w:type="dxa"/>
          <w:jc w:val="center"/>
        </w:trPr>
        <w:tc>
          <w:tcPr>
            <w:tcW w:w="14198" w:type="dxa"/>
            <w:gridSpan w:val="9"/>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备注：1．企业信用总分按1000分计。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2．“遵纪守法”“主体责任”“监督管理”“社会责任”按照各自一级指标基准值起算，信用起始总分为900分，即每家企业自900分起依据相应二、三级指标进行扣分。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3．经审核同意进行信用修复的，清除扣分值的50%。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default" w:ascii="Times New Roman" w:hAnsi="Times New Roman" w:eastAsia="仿宋_GB2312" w:cs="Times New Roman"/>
                <w:b w:val="0"/>
                <w:bCs w:val="0"/>
                <w:i w:val="0"/>
                <w:iCs w:val="0"/>
                <w:kern w:val="0"/>
                <w:sz w:val="28"/>
                <w:szCs w:val="28"/>
                <w:lang w:val="en-US" w:eastAsia="zh-CN" w:bidi="ar"/>
              </w:rPr>
            </w:pPr>
            <w:r>
              <w:rPr>
                <w:rFonts w:hint="default" w:ascii="Times New Roman" w:hAnsi="Times New Roman" w:eastAsia="仿宋_GB2312" w:cs="Times New Roman"/>
                <w:b w:val="0"/>
                <w:bCs w:val="0"/>
                <w:i w:val="0"/>
                <w:iCs w:val="0"/>
                <w:kern w:val="0"/>
                <w:sz w:val="28"/>
                <w:szCs w:val="28"/>
                <w:lang w:val="en-US" w:eastAsia="zh-CN" w:bidi="ar"/>
              </w:rPr>
              <w:t>4．信用信息已纠正的，不再扣分。</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eastAsia" w:ascii="仿宋_GB2312" w:hAnsi="仿宋_GB2312" w:eastAsia="仿宋_GB2312" w:cs="仿宋_GB2312"/>
          <w:b w:val="0"/>
          <w:bCs w:val="0"/>
          <w:i w:val="0"/>
          <w:iCs w:val="0"/>
          <w:kern w:val="0"/>
          <w:sz w:val="28"/>
          <w:szCs w:val="28"/>
          <w:lang w:val="en-US" w:eastAsia="zh-CN" w:bidi="ar"/>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decorative"/>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国标黑体">
    <w:altName w:val="黑体"/>
    <w:panose1 w:val="020005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BB2856"/>
    <w:rsid w:val="09BB2856"/>
    <w:rsid w:val="13D015BE"/>
    <w:rsid w:val="15FB3F87"/>
    <w:rsid w:val="16924E23"/>
    <w:rsid w:val="184502D5"/>
    <w:rsid w:val="18C908C1"/>
    <w:rsid w:val="1B674AF5"/>
    <w:rsid w:val="1DD608DF"/>
    <w:rsid w:val="1EFEBE8A"/>
    <w:rsid w:val="230B5036"/>
    <w:rsid w:val="2BB832AA"/>
    <w:rsid w:val="2FD73DEA"/>
    <w:rsid w:val="3FBB780B"/>
    <w:rsid w:val="3FBFAAF7"/>
    <w:rsid w:val="3FBFC899"/>
    <w:rsid w:val="47184BA5"/>
    <w:rsid w:val="47AE06A6"/>
    <w:rsid w:val="53EED961"/>
    <w:rsid w:val="5A156C73"/>
    <w:rsid w:val="5F6FD11C"/>
    <w:rsid w:val="5FFFED59"/>
    <w:rsid w:val="633CD6D9"/>
    <w:rsid w:val="67FFCF9D"/>
    <w:rsid w:val="69F9707C"/>
    <w:rsid w:val="6C0E6A10"/>
    <w:rsid w:val="6E6DF15E"/>
    <w:rsid w:val="6FBCBA64"/>
    <w:rsid w:val="6FBF2107"/>
    <w:rsid w:val="7204769D"/>
    <w:rsid w:val="759FAF95"/>
    <w:rsid w:val="77CF665F"/>
    <w:rsid w:val="77F333D7"/>
    <w:rsid w:val="77FB0077"/>
    <w:rsid w:val="77FF00A0"/>
    <w:rsid w:val="7BFD113D"/>
    <w:rsid w:val="7D35DBFD"/>
    <w:rsid w:val="7DFFD57A"/>
    <w:rsid w:val="7EAFBCA8"/>
    <w:rsid w:val="7F9C2D40"/>
    <w:rsid w:val="7FBE2A25"/>
    <w:rsid w:val="7FBFA61A"/>
    <w:rsid w:val="7FF20D49"/>
    <w:rsid w:val="7FFF058E"/>
    <w:rsid w:val="96FF0F41"/>
    <w:rsid w:val="9EFDE263"/>
    <w:rsid w:val="A4ED30E9"/>
    <w:rsid w:val="BDBFBEB9"/>
    <w:rsid w:val="CD028F1F"/>
    <w:rsid w:val="D9D914CA"/>
    <w:rsid w:val="DBFB6295"/>
    <w:rsid w:val="DFFE29F6"/>
    <w:rsid w:val="E5AAE272"/>
    <w:rsid w:val="ECFE3C23"/>
    <w:rsid w:val="EDB3B237"/>
    <w:rsid w:val="EDDCD4FB"/>
    <w:rsid w:val="EEFF787F"/>
    <w:rsid w:val="EF54604A"/>
    <w:rsid w:val="EFEF3126"/>
    <w:rsid w:val="EFFDA9F7"/>
    <w:rsid w:val="EFFEE85B"/>
    <w:rsid w:val="EFFF29F0"/>
    <w:rsid w:val="F17BB252"/>
    <w:rsid w:val="F3F56715"/>
    <w:rsid w:val="F5EF4EDF"/>
    <w:rsid w:val="F70FCEB3"/>
    <w:rsid w:val="F77A14AD"/>
    <w:rsid w:val="F7BA7D21"/>
    <w:rsid w:val="F7BF3BAF"/>
    <w:rsid w:val="FBDD5ECB"/>
    <w:rsid w:val="FD7E6CC4"/>
    <w:rsid w:val="FE33F50B"/>
    <w:rsid w:val="FF9BFC85"/>
    <w:rsid w:val="FFBFB6CA"/>
    <w:rsid w:val="FFF1962A"/>
    <w:rsid w:val="FFFEDC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rPr>
      <w:rFonts w:eastAsia="仿宋"/>
    </w:rPr>
  </w:style>
  <w:style w:type="paragraph" w:styleId="4">
    <w:name w:val="Body Text Indent"/>
    <w:basedOn w:val="1"/>
    <w:unhideWhenUsed/>
    <w:qFormat/>
    <w:uiPriority w:val="99"/>
    <w:pPr>
      <w:widowControl w:val="0"/>
      <w:spacing w:after="120"/>
      <w:ind w:left="420" w:leftChars="200"/>
      <w:jc w:val="both"/>
    </w:pPr>
    <w:rPr>
      <w:rFonts w:ascii="仿宋_GB2312" w:eastAsia="仿宋_GB2312"/>
      <w:kern w:val="2"/>
      <w:sz w:val="32"/>
      <w:szCs w:val="22"/>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4"/>
    <w:qFormat/>
    <w:uiPriority w:val="99"/>
    <w:pPr>
      <w:widowControl w:val="0"/>
      <w:spacing w:after="120"/>
      <w:ind w:left="420" w:leftChars="200" w:firstLine="420" w:firstLineChars="200"/>
      <w:jc w:val="both"/>
    </w:pPr>
    <w:rPr>
      <w:rFonts w:ascii="仿宋_GB2312" w:eastAsia="仿宋_GB2312"/>
      <w:kern w:val="2"/>
      <w:sz w:val="32"/>
      <w:szCs w:val="21"/>
      <w:lang w:val="en-US" w:eastAsia="zh-CN" w:bidi="ar-SA"/>
    </w:rPr>
  </w:style>
  <w:style w:type="character" w:styleId="9">
    <w:name w:val="annotation reference"/>
    <w:qFormat/>
    <w:uiPriority w:val="0"/>
    <w:rPr>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2025-06-26T01:06:00Z</dcterms:created>
  <dc:creator>小王子</dc:creator>
  <cp:lastModifiedBy>尤鹿</cp:lastModifiedBy>
  <cp:lastPrinted>2025-09-18T08:18:00Z</cp:lastPrinted>
  <dcterms:modified xsi:type="dcterms:W3CDTF">2025-10-13T07:37:37Z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2A2D2520EF2A41B093B27F7C1ECE842A</vt:lpwstr>
  </property>
  <property fmtid="{D5CDD505-2E9C-101B-9397-08002B2CF9AE}" pid="4" name="KSOTemplateDocerSaveRecord">
    <vt:lpwstr>eyJoZGlkIjoiYzIzNjhjZjkxMjg2OGJjOTQ0NThhNzBhOGI4YTVmYWYiLCJ1c2VySWQiOiIzOTE5MTk4MzUifQ==</vt:lpwstr>
  </property>
</Properties>
</file>